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793" w:rsidRPr="00583E12" w:rsidRDefault="000F1793" w:rsidP="000F1793">
      <w:pPr>
        <w:tabs>
          <w:tab w:val="left" w:pos="8340"/>
          <w:tab w:val="right" w:pos="9921"/>
        </w:tabs>
        <w:ind w:left="3119" w:firstLine="851"/>
      </w:pPr>
      <w:r>
        <w:tab/>
      </w:r>
      <w:r>
        <w:tab/>
      </w:r>
      <w:r w:rsidRPr="00583E12">
        <w:t>УТВЕРЖДАЮ:</w:t>
      </w:r>
    </w:p>
    <w:p w:rsidR="000F1793" w:rsidRPr="00583E12" w:rsidRDefault="000F1793" w:rsidP="000F1793">
      <w:pPr>
        <w:tabs>
          <w:tab w:val="right" w:pos="9921"/>
        </w:tabs>
        <w:ind w:left="3119" w:firstLine="851"/>
        <w:jc w:val="right"/>
      </w:pPr>
      <w:r w:rsidRPr="00583E12">
        <w:t xml:space="preserve">Первый заместитель директора – главный инженер </w:t>
      </w:r>
    </w:p>
    <w:p w:rsidR="000F1793" w:rsidRPr="00583E12" w:rsidRDefault="000F1793" w:rsidP="000F1793">
      <w:pPr>
        <w:tabs>
          <w:tab w:val="right" w:pos="9921"/>
        </w:tabs>
        <w:ind w:left="3119" w:firstLine="851"/>
        <w:jc w:val="right"/>
      </w:pPr>
      <w:r w:rsidRPr="00583E12">
        <w:t>Филиала ПАО «Россети центр и Приволжье» - «Калугаэнерго</w:t>
      </w:r>
    </w:p>
    <w:p w:rsidR="000F1793" w:rsidRPr="00583E12" w:rsidRDefault="000F1793" w:rsidP="000F1793">
      <w:pPr>
        <w:tabs>
          <w:tab w:val="right" w:pos="9921"/>
        </w:tabs>
        <w:ind w:left="3119" w:firstLine="851"/>
        <w:jc w:val="right"/>
      </w:pPr>
      <w:r w:rsidRPr="00583E12">
        <w:t>_______________/А.Ю. Митюхин/</w:t>
      </w:r>
    </w:p>
    <w:p w:rsidR="000F1793" w:rsidRPr="00583E12" w:rsidRDefault="000F1793" w:rsidP="000F1793">
      <w:pPr>
        <w:tabs>
          <w:tab w:val="right" w:pos="9921"/>
        </w:tabs>
        <w:ind w:left="3119" w:firstLine="851"/>
        <w:jc w:val="right"/>
      </w:pPr>
      <w:r w:rsidRPr="00583E12">
        <w:t>«</w:t>
      </w:r>
      <w:r>
        <w:t>27</w:t>
      </w:r>
      <w:r w:rsidRPr="00583E12">
        <w:t xml:space="preserve">» </w:t>
      </w:r>
      <w:r>
        <w:t>апреля</w:t>
      </w:r>
      <w:r w:rsidRPr="00583E12">
        <w:t xml:space="preserve"> 2026г.</w:t>
      </w:r>
    </w:p>
    <w:p w:rsidR="006E4B85" w:rsidRDefault="006E4B85" w:rsidP="000F1793">
      <w:pPr>
        <w:tabs>
          <w:tab w:val="left" w:pos="5387"/>
          <w:tab w:val="right" w:pos="9921"/>
        </w:tabs>
        <w:ind w:left="5245" w:right="-142"/>
        <w:rPr>
          <w:sz w:val="26"/>
          <w:szCs w:val="26"/>
          <w:u w:val="single"/>
        </w:rPr>
      </w:pPr>
    </w:p>
    <w:p w:rsidR="006E4B85" w:rsidRDefault="006E4B85">
      <w:pPr>
        <w:tabs>
          <w:tab w:val="left" w:pos="5387"/>
        </w:tabs>
        <w:ind w:left="5245" w:right="-142"/>
        <w:rPr>
          <w:sz w:val="26"/>
          <w:szCs w:val="26"/>
        </w:rPr>
      </w:pPr>
    </w:p>
    <w:p w:rsidR="006E4B85" w:rsidRDefault="006E4B85">
      <w:pPr>
        <w:tabs>
          <w:tab w:val="left" w:pos="5387"/>
        </w:tabs>
        <w:ind w:left="5245" w:right="-142"/>
        <w:rPr>
          <w:b/>
        </w:rPr>
      </w:pPr>
    </w:p>
    <w:p w:rsidR="006E4B85" w:rsidRDefault="006E4B85">
      <w:pPr>
        <w:spacing w:line="276" w:lineRule="auto"/>
        <w:jc w:val="center"/>
        <w:rPr>
          <w:b/>
        </w:rPr>
      </w:pPr>
    </w:p>
    <w:p w:rsidR="006E4B85" w:rsidRDefault="006E4B85">
      <w:pPr>
        <w:spacing w:line="276" w:lineRule="auto"/>
        <w:jc w:val="center"/>
        <w:rPr>
          <w:b/>
        </w:rPr>
      </w:pPr>
    </w:p>
    <w:p w:rsidR="006E4B85" w:rsidRDefault="00A61D82">
      <w:pPr>
        <w:spacing w:line="276" w:lineRule="auto"/>
        <w:ind w:left="70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6E4B85" w:rsidRDefault="00A61D82">
      <w:pPr>
        <w:ind w:left="705"/>
        <w:jc w:val="center"/>
        <w:rPr>
          <w:sz w:val="26"/>
          <w:szCs w:val="26"/>
        </w:rPr>
      </w:pPr>
      <w:r w:rsidRPr="00D740C5">
        <w:rPr>
          <w:sz w:val="26"/>
          <w:szCs w:val="26"/>
        </w:rPr>
        <w:t xml:space="preserve">на поставку </w:t>
      </w:r>
      <w:r w:rsidR="00D740C5" w:rsidRPr="00D740C5">
        <w:rPr>
          <w:sz w:val="26"/>
          <w:szCs w:val="26"/>
        </w:rPr>
        <w:t>Реклоузеров</w:t>
      </w:r>
      <w:r w:rsidRPr="00D740C5">
        <w:rPr>
          <w:sz w:val="26"/>
          <w:szCs w:val="26"/>
        </w:rPr>
        <w:t>.</w:t>
      </w:r>
    </w:p>
    <w:p w:rsidR="006E4B85" w:rsidRDefault="00A61D82">
      <w:pPr>
        <w:ind w:left="705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>
        <w:rPr>
          <w:b/>
          <w:sz w:val="26"/>
          <w:szCs w:val="26"/>
          <w:u w:val="single"/>
        </w:rPr>
        <w:t>306А</w:t>
      </w:r>
    </w:p>
    <w:p w:rsidR="006E4B85" w:rsidRDefault="006E4B85">
      <w:pPr>
        <w:spacing w:line="276" w:lineRule="auto"/>
        <w:ind w:firstLine="709"/>
        <w:jc w:val="both"/>
        <w:rPr>
          <w:b/>
          <w:bCs/>
        </w:rPr>
      </w:pPr>
    </w:p>
    <w:p w:rsidR="006E4B85" w:rsidRDefault="00A61D82">
      <w:pPr>
        <w:pStyle w:val="ListParagraph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:rsidR="006E4B85" w:rsidRDefault="00A61D82">
      <w:pPr>
        <w:tabs>
          <w:tab w:val="left" w:pos="993"/>
        </w:tabs>
        <w:ind w:firstLine="709"/>
        <w:jc w:val="both"/>
      </w:pPr>
      <w:r w:rsidRPr="00D740C5">
        <w:t xml:space="preserve">Филиал ПАО «Россети Центр и Приволжье» - «Калугаэнерго» (Покупатель) производит закупку </w:t>
      </w:r>
      <w:r w:rsidR="00D740C5" w:rsidRPr="00D740C5">
        <w:t xml:space="preserve">вакуумных реклоузеров </w:t>
      </w:r>
      <w:r w:rsidR="00D740C5" w:rsidRPr="00D740C5">
        <w:rPr>
          <w:lang w:val="en-US"/>
        </w:rPr>
        <w:t>Rec</w:t>
      </w:r>
      <w:r w:rsidR="00D740C5" w:rsidRPr="00D740C5">
        <w:t>15 для техприсоединений без функции коммерческого учета</w:t>
      </w:r>
      <w:r w:rsidRPr="00D740C5">
        <w:t>.</w:t>
      </w:r>
    </w:p>
    <w:p w:rsidR="006E4B85" w:rsidRDefault="00A61D82">
      <w:pPr>
        <w:pStyle w:val="ListParagraph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договора.</w:t>
      </w:r>
    </w:p>
    <w:p w:rsidR="006E4B85" w:rsidRDefault="00A61D82">
      <w:pPr>
        <w:tabs>
          <w:tab w:val="left" w:pos="993"/>
        </w:tabs>
        <w:ind w:firstLine="709"/>
        <w:jc w:val="both"/>
      </w:pPr>
      <w:r>
        <w:t>Поставщик обеспечивает поставку оборудования на склад получателя – филиала             ПАО «Россети Центр и Приволжье» - «Калугаэнерго» в объемах и сроки установленные данным ТЗ:</w:t>
      </w:r>
    </w:p>
    <w:tbl>
      <w:tblPr>
        <w:tblW w:w="10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3"/>
        <w:gridCol w:w="1172"/>
        <w:gridCol w:w="1313"/>
        <w:gridCol w:w="1779"/>
        <w:gridCol w:w="986"/>
        <w:gridCol w:w="1439"/>
        <w:gridCol w:w="2021"/>
      </w:tblGrid>
      <w:tr w:rsidR="006E4B85" w:rsidTr="00242624">
        <w:trPr>
          <w:trHeight w:val="670"/>
        </w:trPr>
        <w:tc>
          <w:tcPr>
            <w:tcW w:w="6623" w:type="dxa"/>
            <w:gridSpan w:val="5"/>
            <w:tcBorders>
              <w:bottom w:val="single" w:sz="4" w:space="0" w:color="000000"/>
            </w:tcBorders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t xml:space="preserve"> </w:t>
            </w:r>
          </w:p>
        </w:tc>
        <w:tc>
          <w:tcPr>
            <w:tcW w:w="3460" w:type="dxa"/>
            <w:gridSpan w:val="2"/>
            <w:tcBorders>
              <w:bottom w:val="single" w:sz="4" w:space="0" w:color="000000"/>
            </w:tcBorders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6E4B85" w:rsidTr="00242624">
        <w:trPr>
          <w:trHeight w:val="1124"/>
        </w:trPr>
        <w:tc>
          <w:tcPr>
            <w:tcW w:w="1373" w:type="dxa"/>
            <w:tcBorders>
              <w:bottom w:val="single" w:sz="4" w:space="0" w:color="000000"/>
            </w:tcBorders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  <w:tc>
          <w:tcPr>
            <w:tcW w:w="1172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1313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Точка поставки</w:t>
            </w:r>
          </w:p>
        </w:tc>
        <w:tc>
          <w:tcPr>
            <w:tcW w:w="1779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986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Количество, шт.</w:t>
            </w:r>
          </w:p>
        </w:tc>
        <w:tc>
          <w:tcPr>
            <w:tcW w:w="1439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2021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6E4B85" w:rsidTr="00242624">
        <w:trPr>
          <w:trHeight w:val="609"/>
        </w:trPr>
        <w:tc>
          <w:tcPr>
            <w:tcW w:w="1373" w:type="dxa"/>
          </w:tcPr>
          <w:p w:rsidR="006E4B85" w:rsidRDefault="00A61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Калугаэнерго</w:t>
            </w:r>
          </w:p>
        </w:tc>
        <w:tc>
          <w:tcPr>
            <w:tcW w:w="1172" w:type="dxa"/>
          </w:tcPr>
          <w:p w:rsidR="006E4B85" w:rsidRDefault="00A61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</w:p>
        </w:tc>
        <w:tc>
          <w:tcPr>
            <w:tcW w:w="1313" w:type="dxa"/>
          </w:tcPr>
          <w:p w:rsidR="006E4B85" w:rsidRDefault="00A61D82">
            <w:pPr>
              <w:jc w:val="center"/>
              <w:rPr>
                <w:sz w:val="20"/>
                <w:szCs w:val="20"/>
              </w:rPr>
            </w:pPr>
            <w:r w:rsidRPr="000F1793">
              <w:rPr>
                <w:sz w:val="20"/>
              </w:rPr>
              <w:t>г. Калуга, ул. Грабцевское шоссе, д.35а</w:t>
            </w:r>
          </w:p>
        </w:tc>
        <w:tc>
          <w:tcPr>
            <w:tcW w:w="1779" w:type="dxa"/>
            <w:vAlign w:val="center"/>
          </w:tcPr>
          <w:p w:rsidR="006E4B85" w:rsidRDefault="00A61D82" w:rsidP="00242624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течение 30 </w:t>
            </w:r>
            <w:r w:rsidR="00842736">
              <w:rPr>
                <w:sz w:val="20"/>
                <w:szCs w:val="20"/>
              </w:rPr>
              <w:t xml:space="preserve">календарных </w:t>
            </w:r>
            <w:r>
              <w:rPr>
                <w:sz w:val="20"/>
                <w:szCs w:val="20"/>
              </w:rPr>
              <w:t xml:space="preserve">дней </w:t>
            </w:r>
            <w:r w:rsidR="00242624">
              <w:rPr>
                <w:sz w:val="20"/>
              </w:rPr>
              <w:t>после подачи заявки Покупателя</w:t>
            </w:r>
            <w:r w:rsidR="00242624">
              <w:rPr>
                <w:sz w:val="20"/>
                <w:szCs w:val="20"/>
              </w:rPr>
              <w:t>, но не позднее 30.09.2026 г.</w:t>
            </w:r>
          </w:p>
        </w:tc>
        <w:tc>
          <w:tcPr>
            <w:tcW w:w="986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39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27.12.10.190</w:t>
            </w:r>
          </w:p>
        </w:tc>
        <w:tc>
          <w:tcPr>
            <w:tcW w:w="2021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</w:tbl>
    <w:p w:rsidR="006E4B85" w:rsidRDefault="006E4B85">
      <w:pPr>
        <w:jc w:val="both"/>
      </w:pPr>
    </w:p>
    <w:p w:rsidR="006E4B85" w:rsidRDefault="00A61D82">
      <w:pPr>
        <w:pStyle w:val="ListParagraph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оборудованию.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пункта секционирования должны соответствовать параметрам, приведенным в таблице: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7"/>
        <w:gridCol w:w="3260"/>
      </w:tblGrid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rStyle w:val="aff7"/>
                <w:sz w:val="22"/>
                <w:szCs w:val="22"/>
              </w:rPr>
              <w:t>Наименование параметра</w:t>
            </w:r>
          </w:p>
        </w:tc>
        <w:tc>
          <w:tcPr>
            <w:tcW w:w="3260" w:type="dxa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rStyle w:val="aff7"/>
                <w:sz w:val="22"/>
                <w:szCs w:val="22"/>
              </w:rPr>
              <w:t>Значение</w:t>
            </w:r>
          </w:p>
        </w:tc>
      </w:tr>
      <w:tr w:rsidR="006E4B85">
        <w:tc>
          <w:tcPr>
            <w:tcW w:w="6487" w:type="dxa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rStyle w:val="aff7"/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оборудования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автоматического секционирования ВЛ 6(10) кВ, включая: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оперативное переключение в сетях с одним или несколькими источниками питания;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автоматическое отключение поврежденных участков ВЛ;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rPr>
                <w:rStyle w:val="aff7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- автоматическое повторное включение ВЛ;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напряжение, не менее, кВ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ток, не менее, 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Номинальный ток отключения, не менее, кА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Механический ресурс, не менее, циклов ВО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30 000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Ресурс по коммутационной стойкости, не менее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br w:type="textWrapping" w:clear="all"/>
              <w:t>• при номинальном токе, циклов ВО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br w:type="textWrapping" w:clear="all"/>
              <w:t>• при номинальном токе отключения, циклов ВО</w:t>
            </w:r>
          </w:p>
        </w:tc>
        <w:tc>
          <w:tcPr>
            <w:tcW w:w="3260" w:type="dxa"/>
            <w:vAlign w:val="center"/>
          </w:tcPr>
          <w:p w:rsidR="006E4B85" w:rsidRDefault="006E4B85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30 000</w:t>
            </w:r>
            <w:r>
              <w:rPr>
                <w:rStyle w:val="apple-converted-space"/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br w:type="textWrapping" w:clear="all"/>
              <w:t>50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Собственное время включения, не более, мс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Собственное время отключения, не более, мс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Испытательное напряжение грозового импульса, не менее, кВ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Сквозной ток короткого замыкания, наибольший пик (ток электродинамической стойкости) , не менее, кА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31,5</w:t>
            </w:r>
          </w:p>
        </w:tc>
      </w:tr>
      <w:tr w:rsidR="006E4B85">
        <w:trPr>
          <w:trHeight w:val="618"/>
        </w:trPr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Испытательное пятиминутное напряжение промышленной частоты, не менее, кВ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42/38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Цикл АПВ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О – 0,3с – ВО – 10с – ВО</w:t>
            </w:r>
          </w:p>
        </w:tc>
      </w:tr>
      <w:tr w:rsidR="006E4B85">
        <w:trPr>
          <w:trHeight w:val="459"/>
        </w:trPr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Допустимый диапазон оперативного питания от внешних источников переменного тока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0,8-1,15 </w:t>
            </w:r>
            <w:r>
              <w:rPr>
                <w:sz w:val="22"/>
                <w:szCs w:val="22"/>
                <w:lang w:val="en-US"/>
              </w:rPr>
              <w:t>U</w:t>
            </w:r>
            <w:r>
              <w:rPr>
                <w:sz w:val="22"/>
                <w:szCs w:val="22"/>
              </w:rPr>
              <w:t>ном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Переходное сопротивление главных цепей коммутационного модуля, не более, мкОм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УХЛ 1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окружающего воздуха: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верхнее рабочее значение, не ниже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нижнее рабочее значение, не выше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+40С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-45С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Верхнее значение относительной влажности воздуха при температуре 25 °С, не менее, %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 допустимое значение скорости ветра в условиях отсутствия гололеда, не менее, м/с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6E4B85">
        <w:trPr>
          <w:trHeight w:val="348"/>
        </w:trPr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Максимально допустимое значение скорости ветра в условиях обледенения проводов (толщина корки – 20 мм), не менее, м/с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Наибольшая высота эксплуатации над уровнем моря, не менее, м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Стойкость к внешним механическим факторам по ГОСТ 17516.1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М6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(коммутационный модуль/шкаф управления), не более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коммутационного модуля, не более, кг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шкафа управления, кг</w:t>
            </w:r>
          </w:p>
        </w:tc>
        <w:tc>
          <w:tcPr>
            <w:tcW w:w="3260" w:type="dxa"/>
            <w:vAlign w:val="center"/>
          </w:tcPr>
          <w:p w:rsidR="006E4B85" w:rsidRDefault="006E4B85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  <w:p w:rsidR="006E4B85" w:rsidRDefault="00A61D82">
            <w:pPr>
              <w:pStyle w:val="UserStyle1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службы, не менее, лет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6E4B85">
        <w:trPr>
          <w:trHeight w:val="427"/>
        </w:trPr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службы аккумуляторной батареи, не менее, лет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E4B85">
        <w:trPr>
          <w:trHeight w:val="830"/>
        </w:trPr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Коммутационное оборудование не должно требовать проведения плановых ремонтов на протяжении всего срока эксплуатации, да/нет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9747" w:type="dxa"/>
            <w:gridSpan w:val="2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Коммутационный модуль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Тип дугогасительной среды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вакуум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Тип привода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Электромагнитный с магнитной защелкой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Возможность ручного отключения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Наличие механической блокировки включения реклоузера (местного или дистанционного) для обеспечения безопасности персонала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Материал корпуса коммутационного модуля из материала, не подверженного коррозии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Алюминий/алюминиевый сплав или нержавеющая (оцинкованная) сталь, покрытый порошковой краской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Открытые токоведущие части внутри коммутационного модуля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отсутствуют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Материал внешней изоляции вводов коммутационного модуля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кремнийорганическая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резина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Механический указатель включенного и отключенного положения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Защита от птиц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 дне коммутационного модуля должно присутствовать устройство дренажа (фильтр) для удаления конденсата, образующегося при перепадах температуры окружающей среды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Степень защиты оболочки, не ниже, код IP по ГОСТ 14254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IP54</w:t>
            </w:r>
          </w:p>
        </w:tc>
      </w:tr>
      <w:tr w:rsidR="006E4B85">
        <w:tc>
          <w:tcPr>
            <w:tcW w:w="9747" w:type="dxa"/>
            <w:gridSpan w:val="2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>Шкаф управления</w:t>
            </w:r>
          </w:p>
        </w:tc>
      </w:tr>
      <w:tr w:rsidR="006E4B85">
        <w:tc>
          <w:tcPr>
            <w:tcW w:w="6487" w:type="dxa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оперативного питания AC (переменный ток), В</w:t>
            </w:r>
          </w:p>
        </w:tc>
        <w:tc>
          <w:tcPr>
            <w:tcW w:w="3260" w:type="dxa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85-265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Аккумуляторная батарея для бесперебойного питания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Номинальное напряжение батареи, В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Время работы от АКБ после пропадания оперативного питания, не менее, ч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Функция изменения контрастности дисплея панели управления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Наличие русскоязычного интерфейса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Встроенный обогрев шкафа управления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Материал корпуса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Алюминий/алюминиевый сплав, нержавеющая или</w:t>
            </w:r>
            <w:r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листовая сталь</w:t>
            </w:r>
          </w:p>
        </w:tc>
      </w:tr>
      <w:tr w:rsidR="006E4B85">
        <w:tc>
          <w:tcPr>
            <w:tcW w:w="6487" w:type="dxa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Покрытие корпуса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Порошковая окраска</w:t>
            </w:r>
          </w:p>
        </w:tc>
      </w:tr>
      <w:tr w:rsidR="006E4B85">
        <w:tc>
          <w:tcPr>
            <w:tcW w:w="6487" w:type="dxa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защиты оболочки шкафа, не ниже, код IP по ГОСТ 14254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IP54</w:t>
            </w:r>
          </w:p>
        </w:tc>
      </w:tr>
      <w:tr w:rsidR="006E4B85">
        <w:tc>
          <w:tcPr>
            <w:tcW w:w="6487" w:type="dxa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защиты разъема соединительного устройства, не ниже, код IP по ГОСТ 14254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IP65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Настройка и управления с использованием сервисного ПО через:</w:t>
            </w:r>
          </w:p>
          <w:p w:rsidR="006E4B85" w:rsidRDefault="00A61D82">
            <w:pPr>
              <w:pStyle w:val="ListParagraph1"/>
              <w:numPr>
                <w:ilvl w:val="0"/>
                <w:numId w:val="27"/>
              </w:numPr>
              <w:ind w:left="0" w:right="-108"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местное проводное соединение (указать тип)</w:t>
            </w:r>
          </w:p>
          <w:p w:rsidR="006E4B85" w:rsidRDefault="00A61D82">
            <w:pPr>
              <w:pStyle w:val="ListParagraph1"/>
              <w:numPr>
                <w:ilvl w:val="0"/>
                <w:numId w:val="27"/>
              </w:numPr>
              <w:ind w:left="0" w:right="-108" w:firstLine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местный беспроводной канал связи (указать тип)</w:t>
            </w:r>
          </w:p>
          <w:p w:rsidR="006E4B85" w:rsidRDefault="00A61D82">
            <w:pPr>
              <w:pStyle w:val="ListParagraph1"/>
              <w:numPr>
                <w:ilvl w:val="0"/>
                <w:numId w:val="28"/>
              </w:numPr>
              <w:ind w:left="0" w:right="-108"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удаленный беспроводной канал связи (указать тип) </w:t>
            </w:r>
          </w:p>
        </w:tc>
        <w:tc>
          <w:tcPr>
            <w:tcW w:w="3260" w:type="dxa"/>
            <w:vAlign w:val="center"/>
          </w:tcPr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(Bluetooth или </w:t>
            </w:r>
            <w:r>
              <w:rPr>
                <w:sz w:val="22"/>
                <w:szCs w:val="22"/>
                <w:lang w:val="en-US"/>
              </w:rPr>
              <w:t>Wi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Fi</w:t>
            </w:r>
            <w:r>
              <w:rPr>
                <w:sz w:val="22"/>
                <w:szCs w:val="22"/>
              </w:rPr>
              <w:t>)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(</w:t>
            </w:r>
            <w:r>
              <w:rPr>
                <w:sz w:val="22"/>
                <w:szCs w:val="22"/>
                <w:lang w:val="en-US"/>
              </w:rPr>
              <w:t>GPRS</w:t>
            </w:r>
            <w:r>
              <w:rPr>
                <w:sz w:val="22"/>
                <w:szCs w:val="22"/>
              </w:rPr>
              <w:t>)</w:t>
            </w:r>
          </w:p>
        </w:tc>
      </w:tr>
      <w:tr w:rsidR="006E4B85">
        <w:trPr>
          <w:trHeight w:val="1031"/>
        </w:trPr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Передача данных для организации канала связи между реклоузером и SCADA-системой с использованием: 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интерфейсов;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протоколов передачи данных</w:t>
            </w:r>
          </w:p>
        </w:tc>
        <w:tc>
          <w:tcPr>
            <w:tcW w:w="3260" w:type="dxa"/>
            <w:vAlign w:val="center"/>
          </w:tcPr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6E4B85" w:rsidRDefault="00A61D82">
            <w:pPr>
              <w:tabs>
                <w:tab w:val="left" w:pos="113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RS</w:t>
            </w:r>
            <w:r>
              <w:rPr>
                <w:rFonts w:eastAsia="Calibri"/>
                <w:sz w:val="22"/>
                <w:szCs w:val="22"/>
                <w:lang w:eastAsia="en-US"/>
              </w:rPr>
              <w:t>-232/485/</w:t>
            </w:r>
            <w:r>
              <w:rPr>
                <w:rFonts w:eastAsia="Calibri"/>
                <w:sz w:val="22"/>
                <w:szCs w:val="22"/>
                <w:lang w:val="en-US" w:eastAsia="en-US"/>
              </w:rPr>
              <w:t>Ethernet</w:t>
            </w:r>
            <w:r>
              <w:rPr>
                <w:rFonts w:eastAsia="Calibri"/>
                <w:sz w:val="22"/>
                <w:szCs w:val="22"/>
                <w:lang w:eastAsia="en-US"/>
              </w:rPr>
              <w:t>;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Modbus</w:t>
            </w:r>
            <w:r>
              <w:rPr>
                <w:rFonts w:eastAsia="Calibri"/>
                <w:sz w:val="22"/>
                <w:szCs w:val="22"/>
                <w:lang w:eastAsia="en-US"/>
              </w:rPr>
              <w:t>/МЭК60870-5-104,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Все перечисленные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Система диагностики функционирования основных модулей (в том числе целостность привода коммутационного модуля в случае короткого замыкания или обрыва в его цепи) и элементов шкафа управления, при обнаружении неисправности формируется соответствующий сигнал 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Функция регистрации аварийных событий 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Тип дисплея шкафа управления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OLED </w:t>
            </w:r>
            <w:r>
              <w:rPr>
                <w:sz w:val="22"/>
                <w:szCs w:val="22"/>
              </w:rPr>
              <w:t xml:space="preserve">или </w:t>
            </w:r>
            <w:r>
              <w:rPr>
                <w:sz w:val="22"/>
                <w:szCs w:val="22"/>
                <w:lang w:val="en-US"/>
              </w:rPr>
              <w:t>LCD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GPRS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-роутер с антенной 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Защита шкафа управления от солнечного излучения 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 дне шкафа управления должно присутствовать устройство дренажа (фильтр) для удаления конденсата, образующегося при перепадах температуры окружающей среды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9747" w:type="dxa"/>
            <w:gridSpan w:val="2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Функции РЗА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токовая защита от междуфазных КЗ;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направленная токовая защита от замыканий на землю;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направленные токовые защиты с различными значениями уставок в зависимости от направления мощности (для реклоузера с двусторонним питанием);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защита минимального напряжения;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автоматическая частотная разгрузка;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защита от потери питания;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защита от обрыва фазы по току обратной последовательности;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АПВ – 3 ступени, с контролем по напряжению, с возможностью запуска ускоренной ступени МТЗ в каждом цикле АПВ;</w:t>
            </w:r>
          </w:p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• АВР с контролем по напряжению</w:t>
            </w:r>
          </w:p>
        </w:tc>
        <w:tc>
          <w:tcPr>
            <w:tcW w:w="3260" w:type="dxa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независимых групп уставок, не менее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Ступень селективности между реклоузерами, не более, с;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6E4B85">
        <w:tc>
          <w:tcPr>
            <w:tcW w:w="9747" w:type="dxa"/>
            <w:gridSpan w:val="2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Монтажный комплект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металлоконструкций для установки реклоузера (коммутационного модуля, шкафа управления и ТСН) на одну опору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</w:pPr>
            <w:r>
              <w:rPr>
                <w:sz w:val="22"/>
                <w:szCs w:val="22"/>
              </w:rPr>
              <w:t>Комплект металлоконструкций для установки разъединителя на существующую опору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Да, стандартная конструкция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Наличие СИП и врезных изоляторов для подключения коммутационного модуля в линию без перетяжки проводов ВЛ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Антикоррозийное покрытие металлоконструкций (указать тип)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да (горячее цинкование)</w:t>
            </w:r>
          </w:p>
        </w:tc>
      </w:tr>
      <w:tr w:rsidR="006E4B85">
        <w:trPr>
          <w:trHeight w:val="70"/>
        </w:trPr>
        <w:tc>
          <w:tcPr>
            <w:tcW w:w="9747" w:type="dxa"/>
            <w:gridSpan w:val="2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Трансформатор собственных нужд (ТСН)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Количество ТСН в составе реклоузера, шт: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Номинальные напряжения первичной обмотки, кВ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Климатическое исполнение и категория размещения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УХЛ 1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Материал изоляции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литая из циклоалифатической эпоксидной смолы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Уровень изоляции  по ГОСТ 1516.3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«б»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Масса, не более, кг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6E4B85">
        <w:tc>
          <w:tcPr>
            <w:tcW w:w="9747" w:type="dxa"/>
            <w:gridSpan w:val="2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Прочие комплектующие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Наличие ОПН в комплекте поставки, да(указать количество)/нет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6 шт</w:t>
            </w:r>
          </w:p>
        </w:tc>
      </w:tr>
      <w:tr w:rsidR="006E4B85">
        <w:tc>
          <w:tcPr>
            <w:tcW w:w="9747" w:type="dxa"/>
            <w:gridSpan w:val="2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требования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</w:pPr>
            <w:r>
              <w:t>Шеф-наладка реклоузера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6E4B85">
        <w:tc>
          <w:tcPr>
            <w:tcW w:w="6487" w:type="dxa"/>
            <w:vAlign w:val="center"/>
          </w:tcPr>
          <w:p w:rsidR="006E4B85" w:rsidRDefault="00A61D82">
            <w:pPr>
              <w:tabs>
                <w:tab w:val="left" w:pos="1134"/>
              </w:tabs>
            </w:pPr>
            <w:r>
              <w:t>Наличие аттестационного заключения в ПАО "Россети”</w:t>
            </w:r>
          </w:p>
        </w:tc>
        <w:tc>
          <w:tcPr>
            <w:tcW w:w="3260" w:type="dxa"/>
            <w:vAlign w:val="center"/>
          </w:tcPr>
          <w:p w:rsidR="006E4B85" w:rsidRDefault="00A61D82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 </w:t>
            </w:r>
          </w:p>
          <w:p w:rsidR="006E4B85" w:rsidRDefault="006E4B85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6E4B85" w:rsidRDefault="006E4B85">
      <w:pPr>
        <w:jc w:val="both"/>
        <w:rPr>
          <w:bCs/>
        </w:rPr>
      </w:pP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 к системе измерений</w:t>
      </w:r>
    </w:p>
    <w:p w:rsidR="006E4B85" w:rsidRDefault="00A61D82">
      <w:pPr>
        <w:pStyle w:val="ListParagraph1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система измерения токов и напряжений не должна требовать обслуживания, в том числе диагностики и поверок в течение всего срока эксплуатации реклоузера</w:t>
      </w:r>
    </w:p>
    <w:p w:rsidR="006E4B85" w:rsidRDefault="00A61D82">
      <w:pPr>
        <w:pStyle w:val="ListParagraph1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система измерения токов должна работать во всем диапазоне измеряемых значений вне зависимости от нагрузочных и аварийных токов линии</w:t>
      </w:r>
    </w:p>
    <w:p w:rsidR="006E4B85" w:rsidRDefault="00A61D82">
      <w:pPr>
        <w:pStyle w:val="ListParagraph1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измерения напряжений должно быть с обеих сторон коммутационного модуля</w:t>
      </w:r>
    </w:p>
    <w:p w:rsidR="006E4B85" w:rsidRDefault="00A61D82">
      <w:pPr>
        <w:pStyle w:val="ListParagraph1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система измерения напряжения не должна быть подвержена явлению феррорезонанса.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 по телемеханике и связи.</w:t>
      </w:r>
    </w:p>
    <w:p w:rsidR="006E4B85" w:rsidRDefault="00A61D82">
      <w:pPr>
        <w:tabs>
          <w:tab w:val="left" w:pos="993"/>
          <w:tab w:val="left" w:pos="1134"/>
        </w:tabs>
        <w:ind w:left="-142" w:firstLine="851"/>
        <w:jc w:val="both"/>
        <w:rPr>
          <w:bCs/>
        </w:rPr>
      </w:pPr>
      <w:r>
        <w:rPr>
          <w:bCs/>
        </w:rPr>
        <w:t>Устройство должно обеспечивать интеграцию в систему диспетчерского управления посредством протокола: МЭК 60870-5-104-2004.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Прочие требования</w:t>
      </w:r>
    </w:p>
    <w:p w:rsidR="006E4B85" w:rsidRDefault="00A61D82">
      <w:pPr>
        <w:pStyle w:val="ListParagraph1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пункт секционирования должен поставляться с загруженными и протестированными на заводских приемо-сдаточных испытаниях уставками РЗА, обеспечивающими его корректную работу в согласованном месте установки;</w:t>
      </w:r>
    </w:p>
    <w:p w:rsidR="006E4B85" w:rsidRDefault="00A61D82">
      <w:pPr>
        <w:pStyle w:val="ListParagraph1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>
        <w:rPr>
          <w:rFonts w:eastAsia="Calibri"/>
          <w:sz w:val="24"/>
          <w:szCs w:val="24"/>
          <w:lang w:eastAsia="en-US"/>
        </w:rPr>
        <w:t xml:space="preserve">тсутствие необходимости проведения сервисных операций с главными цепями реклоузера. </w:t>
      </w:r>
    </w:p>
    <w:p w:rsidR="006E4B85" w:rsidRDefault="006E4B85">
      <w:pPr>
        <w:pStyle w:val="ListParagraph1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</w:p>
    <w:p w:rsidR="006E4B85" w:rsidRDefault="00A61D82">
      <w:pPr>
        <w:pStyle w:val="ListParagraph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Общие требования.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6E4B85" w:rsidRDefault="00A61D82">
      <w:pPr>
        <w:pStyle w:val="ListParagraph1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E4B85" w:rsidRDefault="00A61D82">
      <w:pPr>
        <w:pStyle w:val="13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«Россети Центр» по допуску оборудования, материалов и систем.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(текущее издание) и требованиям стандартов МЭК и ГОСТ:</w:t>
      </w:r>
    </w:p>
    <w:p w:rsidR="006E4B85" w:rsidRDefault="00A61D82">
      <w:pPr>
        <w:tabs>
          <w:tab w:val="left" w:pos="1560"/>
        </w:tabs>
        <w:ind w:firstLine="709"/>
        <w:jc w:val="both"/>
        <w:rPr>
          <w:color w:val="000000"/>
        </w:rPr>
      </w:pPr>
      <w:r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6E4B85" w:rsidRDefault="00A61D82">
      <w:pPr>
        <w:pStyle w:val="ListParagraph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E4B85" w:rsidRDefault="00A61D82">
      <w:pPr>
        <w:pStyle w:val="ListParagraph1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Комплектность поставки реклоузеров.</w:t>
      </w:r>
    </w:p>
    <w:p w:rsidR="006E4B85" w:rsidRDefault="00A61D82">
      <w:pPr>
        <w:pStyle w:val="ListParagraph1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пункт секционирования (комплектация в соответствии с требованиями таблицы п.3.1. ТЗ);</w:t>
      </w:r>
    </w:p>
    <w:p w:rsidR="006E4B85" w:rsidRDefault="00A61D82">
      <w:pPr>
        <w:pStyle w:val="ListParagraph1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реклоузера;</w:t>
      </w:r>
    </w:p>
    <w:p w:rsidR="006E4B85" w:rsidRDefault="00A61D82">
      <w:pPr>
        <w:pStyle w:val="ListParagraph1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ЗИП в соответствии с прилагаемой к оборудованию ведомостью;</w:t>
      </w:r>
    </w:p>
    <w:p w:rsidR="006E4B85" w:rsidRDefault="00A61D82">
      <w:pPr>
        <w:pStyle w:val="ListParagraph1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руководство по монтажу и эксплуатации.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E4B85" w:rsidRDefault="00A61D82">
      <w:pPr>
        <w:pStyle w:val="ListParagraph1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E4B85" w:rsidRDefault="00A61D82">
      <w:pPr>
        <w:pStyle w:val="ListParagraph1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6E4B85" w:rsidRDefault="00A61D82">
      <w:pPr>
        <w:ind w:firstLine="709"/>
        <w:jc w:val="both"/>
      </w:pPr>
      <w:r>
        <w:t>Упаковка, маркировка, транспортирование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6E4B85" w:rsidRDefault="006E4B85">
      <w:pPr>
        <w:ind w:firstLine="709"/>
        <w:jc w:val="both"/>
      </w:pPr>
    </w:p>
    <w:p w:rsidR="006E4B85" w:rsidRDefault="00A61D82">
      <w:pPr>
        <w:pStyle w:val="ListParagraph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Гарантийные обязательства.</w:t>
      </w:r>
    </w:p>
    <w:p w:rsidR="006E4B85" w:rsidRDefault="00A61D82">
      <w:pPr>
        <w:pStyle w:val="ListParagraph1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E4B85" w:rsidRDefault="00A61D82">
      <w:pPr>
        <w:pStyle w:val="ListParagraph1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:rsidR="006E4B85" w:rsidRDefault="006E4B85">
      <w:pPr>
        <w:pStyle w:val="ListParagraph1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6E4B85" w:rsidRDefault="00A61D82">
      <w:pPr>
        <w:pStyle w:val="ListParagraph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E4B85" w:rsidRDefault="00A61D82">
      <w:pPr>
        <w:pStyle w:val="ListParagraph1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лет, на шкаф управления – 12 лет. </w:t>
      </w:r>
    </w:p>
    <w:p w:rsidR="006E4B85" w:rsidRDefault="006E4B85">
      <w:pPr>
        <w:pStyle w:val="ListParagraph1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6E4B85" w:rsidRDefault="00A61D82">
      <w:pPr>
        <w:pStyle w:val="ListParagraph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:rsidR="006E4B85" w:rsidRDefault="00A61D82">
      <w:pPr>
        <w:pStyle w:val="ListParagraph1"/>
        <w:tabs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34.201–2020,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E4B85" w:rsidRDefault="00A61D82">
      <w:pPr>
        <w:pStyle w:val="ListParagraph1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Предоставляемая Поставщиком техническая и эксплуатационная документация для каждого реклоузера должна включать: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паспорт;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 электрических схем;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комплект схем внутренней логики;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методику расчета и выбора уставок;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эксплуатации;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программное обеспечение </w:t>
      </w:r>
      <w:r>
        <w:rPr>
          <w:color w:val="000000"/>
          <w:sz w:val="24"/>
          <w:szCs w:val="24"/>
          <w:lang w:val="en-US"/>
        </w:rPr>
        <w:t>SCADA</w:t>
      </w:r>
      <w:r>
        <w:rPr>
          <w:color w:val="000000"/>
          <w:sz w:val="24"/>
          <w:szCs w:val="24"/>
        </w:rPr>
        <w:t xml:space="preserve"> для управления реклоузерами (локальная версия);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программное обеспечение (на русском языке) для параметризованного микропроцессорного терминала, а также анализа и просмотра осциллограмм аварийных событий;</w:t>
      </w:r>
    </w:p>
    <w:p w:rsidR="006E4B85" w:rsidRDefault="00A61D82">
      <w:pPr>
        <w:pStyle w:val="ListParagraph1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ЗИП в соответствии с прилагаемой к оборудованию ведомостью.</w:t>
      </w:r>
    </w:p>
    <w:p w:rsidR="006E4B85" w:rsidRDefault="006E4B85">
      <w:pPr>
        <w:pStyle w:val="ListParagraph1"/>
        <w:tabs>
          <w:tab w:val="left" w:pos="0"/>
          <w:tab w:val="left" w:pos="993"/>
          <w:tab w:val="left" w:pos="1134"/>
        </w:tabs>
        <w:ind w:left="709"/>
        <w:jc w:val="both"/>
        <w:rPr>
          <w:sz w:val="24"/>
          <w:szCs w:val="24"/>
        </w:rPr>
      </w:pPr>
    </w:p>
    <w:p w:rsidR="006E4B85" w:rsidRDefault="00A61D82">
      <w:pPr>
        <w:tabs>
          <w:tab w:val="left" w:pos="993"/>
        </w:tabs>
        <w:jc w:val="both"/>
        <w:rPr>
          <w:b/>
          <w:bCs/>
        </w:rPr>
      </w:pPr>
      <w:r>
        <w:rPr>
          <w:b/>
          <w:bCs/>
        </w:rPr>
        <w:t xml:space="preserve">            8. Дополнительные требования.</w:t>
      </w:r>
    </w:p>
    <w:p w:rsidR="006E4B85" w:rsidRDefault="00A61D82">
      <w:pPr>
        <w:pStyle w:val="ListParagraph1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</w:t>
      </w:r>
      <w:r w:rsidR="000B35D8">
        <w:rPr>
          <w:sz w:val="24"/>
          <w:szCs w:val="24"/>
        </w:rPr>
        <w:t xml:space="preserve">асование проектной документации </w:t>
      </w:r>
      <w:r>
        <w:rPr>
          <w:sz w:val="24"/>
          <w:szCs w:val="24"/>
        </w:rPr>
        <w:t>с Покупателем в сроки, определенные договором поставки, за свой счет без изменения стоимости и сроков поставляемого оборудования.</w:t>
      </w:r>
    </w:p>
    <w:p w:rsidR="006E4B85" w:rsidRDefault="00A61D82">
      <w:pPr>
        <w:pStyle w:val="ListParagraph1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Наличие в паспорте реклоузера и (или) руководстве по эксплуатации реклоузера информации по условиям и срокам хранения, обеспечивающим заводскую гарантию.</w:t>
      </w:r>
    </w:p>
    <w:p w:rsidR="006E4B85" w:rsidRDefault="00A61D82">
      <w:pPr>
        <w:pStyle w:val="ListParagraph1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выявления дефектов, в том </w:t>
      </w:r>
      <w:bookmarkStart w:id="0" w:name="_GoBack"/>
      <w:bookmarkEnd w:id="0"/>
      <w:r>
        <w:rPr>
          <w:sz w:val="24"/>
          <w:szCs w:val="24"/>
        </w:rPr>
        <w:t>числе и скрытых, при проведении входного контроля, Поставщик обязан за свой счет заменить поставленную продукцию.</w:t>
      </w:r>
    </w:p>
    <w:p w:rsidR="006E4B85" w:rsidRDefault="000B35D8">
      <w:pPr>
        <w:pStyle w:val="ListParagraph1"/>
        <w:numPr>
          <w:ilvl w:val="1"/>
          <w:numId w:val="25"/>
        </w:numPr>
        <w:tabs>
          <w:tab w:val="left" w:pos="993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A61D82">
        <w:rPr>
          <w:sz w:val="24"/>
          <w:szCs w:val="24"/>
        </w:rPr>
        <w:t>оставка до склада, шеф-монтаж и шеф-наладка.</w:t>
      </w:r>
    </w:p>
    <w:p w:rsidR="006E4B85" w:rsidRDefault="006E4B85">
      <w:pPr>
        <w:ind w:firstLine="709"/>
        <w:jc w:val="both"/>
        <w:rPr>
          <w:color w:val="00B0F0"/>
        </w:rPr>
      </w:pPr>
    </w:p>
    <w:p w:rsidR="006E4B85" w:rsidRDefault="006E4B85">
      <w:pPr>
        <w:ind w:firstLine="709"/>
        <w:jc w:val="both"/>
        <w:rPr>
          <w:color w:val="00B0F0"/>
        </w:rPr>
      </w:pPr>
    </w:p>
    <w:p w:rsidR="006E4B85" w:rsidRDefault="006E4B85"/>
    <w:p w:rsidR="006E4B85" w:rsidRDefault="006E4B85"/>
    <w:p w:rsidR="006E4B85" w:rsidRDefault="006E4B85"/>
    <w:p w:rsidR="006E4B85" w:rsidRDefault="006E4B85"/>
    <w:p w:rsidR="00F61FBA" w:rsidRDefault="00F61FBA" w:rsidP="00F61FBA">
      <w:pPr>
        <w:tabs>
          <w:tab w:val="left" w:pos="7620"/>
        </w:tabs>
      </w:pPr>
      <w:r w:rsidRPr="00F61FBA">
        <w:t>Начальник управления</w:t>
      </w:r>
      <w:r>
        <w:t xml:space="preserve"> </w:t>
      </w:r>
      <w:r w:rsidRPr="00F61FBA">
        <w:t xml:space="preserve">технологического </w:t>
      </w:r>
      <w:r>
        <w:tab/>
      </w:r>
      <w:r w:rsidR="001F30EB">
        <w:t xml:space="preserve">           </w:t>
      </w:r>
      <w:r>
        <w:t>Богатырев И.Г.</w:t>
      </w:r>
    </w:p>
    <w:p w:rsidR="006E4B85" w:rsidRDefault="00F61FBA">
      <w:r w:rsidRPr="00F61FBA">
        <w:t>присоединения и перспективного развития</w:t>
      </w:r>
    </w:p>
    <w:p w:rsidR="006E4B85" w:rsidRDefault="006E4B85"/>
    <w:p w:rsidR="006E4B85" w:rsidRDefault="006E4B85"/>
    <w:p w:rsidR="003D66CD" w:rsidRDefault="003D66CD"/>
    <w:p w:rsidR="001F30EB" w:rsidRPr="001F30EB" w:rsidRDefault="001F30EB" w:rsidP="001F30EB">
      <w:pPr>
        <w:pStyle w:val="Style7"/>
        <w:widowControl/>
        <w:spacing w:line="276" w:lineRule="auto"/>
        <w:ind w:firstLine="0"/>
        <w:contextualSpacing/>
        <w:rPr>
          <w:rStyle w:val="FontStyle35"/>
          <w:sz w:val="24"/>
        </w:rPr>
      </w:pPr>
    </w:p>
    <w:p w:rsidR="001F30EB" w:rsidRPr="001F30EB" w:rsidRDefault="003D66CD" w:rsidP="001F30EB">
      <w:pPr>
        <w:pStyle w:val="Style7"/>
        <w:widowControl/>
        <w:tabs>
          <w:tab w:val="left" w:pos="7950"/>
        </w:tabs>
        <w:spacing w:line="276" w:lineRule="auto"/>
        <w:ind w:firstLine="0"/>
        <w:contextualSpacing/>
        <w:rPr>
          <w:rStyle w:val="FontStyle35"/>
          <w:sz w:val="24"/>
        </w:rPr>
      </w:pPr>
      <w:r>
        <w:rPr>
          <w:rStyle w:val="FontStyle35"/>
          <w:sz w:val="24"/>
        </w:rPr>
        <w:t>Н</w:t>
      </w:r>
      <w:r w:rsidR="001F30EB" w:rsidRPr="001F30EB">
        <w:rPr>
          <w:rStyle w:val="FontStyle35"/>
          <w:sz w:val="24"/>
        </w:rPr>
        <w:t>ачальник управления</w:t>
      </w:r>
      <w:r w:rsidR="001F30EB" w:rsidRPr="001F30EB">
        <w:rPr>
          <w:rStyle w:val="FontStyle35"/>
          <w:sz w:val="24"/>
        </w:rPr>
        <w:tab/>
        <w:t xml:space="preserve">          Пашкин А.В.</w:t>
      </w:r>
    </w:p>
    <w:p w:rsidR="001F30EB" w:rsidRPr="001F30EB" w:rsidRDefault="001F30EB" w:rsidP="001F30EB">
      <w:pPr>
        <w:pStyle w:val="Style7"/>
        <w:widowControl/>
        <w:spacing w:line="276" w:lineRule="auto"/>
        <w:ind w:firstLine="0"/>
        <w:contextualSpacing/>
        <w:rPr>
          <w:rStyle w:val="FontStyle35"/>
          <w:sz w:val="24"/>
        </w:rPr>
      </w:pPr>
      <w:r w:rsidRPr="001F30EB">
        <w:rPr>
          <w:rStyle w:val="FontStyle35"/>
          <w:sz w:val="24"/>
        </w:rPr>
        <w:t>распределительных сетей</w:t>
      </w:r>
    </w:p>
    <w:p w:rsidR="006E4B85" w:rsidRPr="001F30EB" w:rsidRDefault="006E4B85">
      <w:pPr>
        <w:rPr>
          <w:sz w:val="28"/>
        </w:rPr>
      </w:pPr>
    </w:p>
    <w:sectPr w:rsidR="006E4B85" w:rsidRPr="001F30EB">
      <w:headerReference w:type="default" r:id="rId7"/>
      <w:headerReference w:type="first" r:id="rId8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B85" w:rsidRDefault="00A61D82">
      <w:r>
        <w:separator/>
      </w:r>
    </w:p>
  </w:endnote>
  <w:endnote w:type="continuationSeparator" w:id="0">
    <w:p w:rsidR="006E4B85" w:rsidRDefault="00A61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B85" w:rsidRDefault="00A61D82">
      <w:r>
        <w:separator/>
      </w:r>
    </w:p>
  </w:footnote>
  <w:footnote w:type="continuationSeparator" w:id="0">
    <w:p w:rsidR="006E4B85" w:rsidRDefault="00A61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B85" w:rsidRDefault="00A61D82">
    <w:pPr>
      <w:pStyle w:val="ac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0B35D8">
      <w:rPr>
        <w:noProof/>
        <w:sz w:val="20"/>
        <w:szCs w:val="20"/>
      </w:rPr>
      <w:t>5</w:t>
    </w:r>
    <w:r>
      <w:rPr>
        <w:sz w:val="20"/>
        <w:szCs w:val="20"/>
      </w:rPr>
      <w:fldChar w:fldCharType="end"/>
    </w:r>
  </w:p>
  <w:p w:rsidR="006E4B85" w:rsidRDefault="006E4B8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B85" w:rsidRDefault="006E4B85">
    <w:pPr>
      <w:pStyle w:val="ac"/>
      <w:jc w:val="center"/>
    </w:pPr>
  </w:p>
  <w:p w:rsidR="006E4B85" w:rsidRDefault="006E4B8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7CE4"/>
    <w:multiLevelType w:val="hybridMultilevel"/>
    <w:tmpl w:val="3554233A"/>
    <w:lvl w:ilvl="0" w:tplc="BD56139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47607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0B464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C4E4DF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D902F5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E7BA5EC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E0A74A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C4A9AF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A4E34C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8A4361F"/>
    <w:multiLevelType w:val="multilevel"/>
    <w:tmpl w:val="6896BF90"/>
    <w:lvl w:ilvl="0">
      <w:start w:val="3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720" w:hanging="54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2" w15:restartNumberingAfterBreak="0">
    <w:nsid w:val="0BCE7F38"/>
    <w:multiLevelType w:val="hybridMultilevel"/>
    <w:tmpl w:val="D15EBE80"/>
    <w:lvl w:ilvl="0" w:tplc="CEC62DA8">
      <w:start w:val="1"/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 w:tplc="EC727606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 w:tplc="2FBEE528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DF8444CC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960247F8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 w:tplc="8D149E20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A4920046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E51A958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 w:tplc="00E6CCFE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3" w15:restartNumberingAfterBreak="0">
    <w:nsid w:val="0D617E53"/>
    <w:multiLevelType w:val="hybridMultilevel"/>
    <w:tmpl w:val="30D004D4"/>
    <w:lvl w:ilvl="0" w:tplc="A094F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FE8A6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6F6D3C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4F6595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C9CCA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200D6E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C0CC01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9F4F3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C6AD7B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1826788"/>
    <w:multiLevelType w:val="hybridMultilevel"/>
    <w:tmpl w:val="2724E60E"/>
    <w:lvl w:ilvl="0" w:tplc="585C59CE">
      <w:start w:val="1"/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 w:tplc="8F2CFAE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 w:tplc="3FF05658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E17C0CF6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A53EA9DC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 w:tplc="E542B84A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649C1A3A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A8EA8886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 w:tplc="F2FE8CB8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5" w15:restartNumberingAfterBreak="0">
    <w:nsid w:val="15865740"/>
    <w:multiLevelType w:val="hybridMultilevel"/>
    <w:tmpl w:val="129AEF10"/>
    <w:lvl w:ilvl="0" w:tplc="B91869A4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  <w:szCs w:val="24"/>
      </w:rPr>
    </w:lvl>
    <w:lvl w:ilvl="1" w:tplc="3B2C631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284CF5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BE61EF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BE9887F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98E6FC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F28693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A3E72B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99B076A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16E91F49"/>
    <w:multiLevelType w:val="multilevel"/>
    <w:tmpl w:val="ACE6674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1944707C"/>
    <w:multiLevelType w:val="hybridMultilevel"/>
    <w:tmpl w:val="3A286FC2"/>
    <w:lvl w:ilvl="0" w:tplc="EC1C7D68">
      <w:start w:val="1"/>
      <w:numFmt w:val="bullet"/>
      <w:lvlText w:val=""/>
      <w:lvlJc w:val="left"/>
      <w:pPr>
        <w:ind w:left="788" w:hanging="360"/>
      </w:pPr>
      <w:rPr>
        <w:rFonts w:ascii="Symbol" w:hAnsi="Symbol"/>
        <w:sz w:val="24"/>
        <w:szCs w:val="24"/>
      </w:rPr>
    </w:lvl>
    <w:lvl w:ilvl="1" w:tplc="6882DEAE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/>
      </w:rPr>
    </w:lvl>
    <w:lvl w:ilvl="2" w:tplc="4BD0F2BA">
      <w:start w:val="1"/>
      <w:numFmt w:val="bullet"/>
      <w:lvlText w:val=""/>
      <w:lvlJc w:val="left"/>
      <w:pPr>
        <w:ind w:left="2228" w:hanging="360"/>
      </w:pPr>
      <w:rPr>
        <w:rFonts w:ascii="Wingdings" w:hAnsi="Wingdings"/>
      </w:rPr>
    </w:lvl>
    <w:lvl w:ilvl="3" w:tplc="4B0C6C9A">
      <w:start w:val="1"/>
      <w:numFmt w:val="bullet"/>
      <w:lvlText w:val=""/>
      <w:lvlJc w:val="left"/>
      <w:pPr>
        <w:ind w:left="2948" w:hanging="360"/>
      </w:pPr>
      <w:rPr>
        <w:rFonts w:ascii="Symbol" w:hAnsi="Symbol"/>
      </w:rPr>
    </w:lvl>
    <w:lvl w:ilvl="4" w:tplc="EEC46FE0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/>
      </w:rPr>
    </w:lvl>
    <w:lvl w:ilvl="5" w:tplc="52CEFA6A">
      <w:start w:val="1"/>
      <w:numFmt w:val="bullet"/>
      <w:lvlText w:val=""/>
      <w:lvlJc w:val="left"/>
      <w:pPr>
        <w:ind w:left="4388" w:hanging="360"/>
      </w:pPr>
      <w:rPr>
        <w:rFonts w:ascii="Wingdings" w:hAnsi="Wingdings"/>
      </w:rPr>
    </w:lvl>
    <w:lvl w:ilvl="6" w:tplc="761C94D6">
      <w:start w:val="1"/>
      <w:numFmt w:val="bullet"/>
      <w:lvlText w:val=""/>
      <w:lvlJc w:val="left"/>
      <w:pPr>
        <w:ind w:left="5108" w:hanging="360"/>
      </w:pPr>
      <w:rPr>
        <w:rFonts w:ascii="Symbol" w:hAnsi="Symbol"/>
      </w:rPr>
    </w:lvl>
    <w:lvl w:ilvl="7" w:tplc="7CE01D38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/>
      </w:rPr>
    </w:lvl>
    <w:lvl w:ilvl="8" w:tplc="4080CDFA">
      <w:start w:val="1"/>
      <w:numFmt w:val="bullet"/>
      <w:lvlText w:val=""/>
      <w:lvlJc w:val="left"/>
      <w:pPr>
        <w:ind w:left="6548" w:hanging="360"/>
      </w:pPr>
      <w:rPr>
        <w:rFonts w:ascii="Wingdings" w:hAnsi="Wingdings"/>
      </w:rPr>
    </w:lvl>
  </w:abstractNum>
  <w:abstractNum w:abstractNumId="8" w15:restartNumberingAfterBreak="0">
    <w:nsid w:val="198E1281"/>
    <w:multiLevelType w:val="multilevel"/>
    <w:tmpl w:val="5600952C"/>
    <w:lvl w:ilvl="0">
      <w:start w:val="9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8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1E2F1627"/>
    <w:multiLevelType w:val="hybridMultilevel"/>
    <w:tmpl w:val="1098029A"/>
    <w:lvl w:ilvl="0" w:tplc="32C2ADF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39C98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50A493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3D60D5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45E97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4642B8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70C9E6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6BA90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702D4D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1EFA260D"/>
    <w:multiLevelType w:val="hybridMultilevel"/>
    <w:tmpl w:val="0C14C0E6"/>
    <w:lvl w:ilvl="0" w:tplc="BC3A9434">
      <w:start w:val="1"/>
      <w:numFmt w:val="decimal"/>
      <w:lvlText w:val="%1)"/>
      <w:lvlJc w:val="left"/>
      <w:pPr>
        <w:ind w:left="720" w:hanging="360"/>
      </w:pPr>
    </w:lvl>
    <w:lvl w:ilvl="1" w:tplc="F2A44188">
      <w:start w:val="1"/>
      <w:numFmt w:val="lowerLetter"/>
      <w:lvlText w:val="%2."/>
      <w:lvlJc w:val="left"/>
      <w:pPr>
        <w:ind w:left="1440" w:hanging="360"/>
      </w:pPr>
    </w:lvl>
    <w:lvl w:ilvl="2" w:tplc="68C47D2A">
      <w:start w:val="1"/>
      <w:numFmt w:val="lowerRoman"/>
      <w:lvlText w:val="%3."/>
      <w:lvlJc w:val="right"/>
      <w:pPr>
        <w:ind w:left="2160" w:hanging="180"/>
      </w:pPr>
    </w:lvl>
    <w:lvl w:ilvl="3" w:tplc="2118EA52">
      <w:start w:val="1"/>
      <w:numFmt w:val="decimal"/>
      <w:lvlText w:val="%4."/>
      <w:lvlJc w:val="left"/>
      <w:pPr>
        <w:ind w:left="2880" w:hanging="360"/>
      </w:pPr>
    </w:lvl>
    <w:lvl w:ilvl="4" w:tplc="E9B8D6C4">
      <w:start w:val="1"/>
      <w:numFmt w:val="lowerLetter"/>
      <w:lvlText w:val="%5."/>
      <w:lvlJc w:val="left"/>
      <w:pPr>
        <w:ind w:left="3600" w:hanging="360"/>
      </w:pPr>
    </w:lvl>
    <w:lvl w:ilvl="5" w:tplc="B54C92AE">
      <w:start w:val="1"/>
      <w:numFmt w:val="lowerRoman"/>
      <w:lvlText w:val="%6."/>
      <w:lvlJc w:val="right"/>
      <w:pPr>
        <w:ind w:left="4320" w:hanging="180"/>
      </w:pPr>
    </w:lvl>
    <w:lvl w:ilvl="6" w:tplc="889C68E6">
      <w:start w:val="1"/>
      <w:numFmt w:val="decimal"/>
      <w:lvlText w:val="%7."/>
      <w:lvlJc w:val="left"/>
      <w:pPr>
        <w:ind w:left="5040" w:hanging="360"/>
      </w:pPr>
    </w:lvl>
    <w:lvl w:ilvl="7" w:tplc="CAD61EEE">
      <w:start w:val="1"/>
      <w:numFmt w:val="lowerLetter"/>
      <w:lvlText w:val="%8."/>
      <w:lvlJc w:val="left"/>
      <w:pPr>
        <w:ind w:left="5760" w:hanging="360"/>
      </w:pPr>
    </w:lvl>
    <w:lvl w:ilvl="8" w:tplc="0602BF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11964"/>
    <w:multiLevelType w:val="hybridMultilevel"/>
    <w:tmpl w:val="7D32559E"/>
    <w:lvl w:ilvl="0" w:tplc="0BB2EDCE">
      <w:start w:val="1"/>
      <w:numFmt w:val="bullet"/>
      <w:lvlText w:val=""/>
      <w:lvlJc w:val="left"/>
      <w:pPr>
        <w:ind w:left="1788" w:hanging="360"/>
      </w:pPr>
      <w:rPr>
        <w:rFonts w:ascii="Symbol" w:hAnsi="Symbol"/>
      </w:rPr>
    </w:lvl>
    <w:lvl w:ilvl="1" w:tplc="B20296EC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/>
      </w:rPr>
    </w:lvl>
    <w:lvl w:ilvl="2" w:tplc="7D4EA9DE">
      <w:start w:val="1"/>
      <w:numFmt w:val="bullet"/>
      <w:lvlText w:val=""/>
      <w:lvlJc w:val="left"/>
      <w:pPr>
        <w:ind w:left="3228" w:hanging="360"/>
      </w:pPr>
      <w:rPr>
        <w:rFonts w:ascii="Wingdings" w:hAnsi="Wingdings"/>
      </w:rPr>
    </w:lvl>
    <w:lvl w:ilvl="3" w:tplc="4C12AD52">
      <w:start w:val="1"/>
      <w:numFmt w:val="bullet"/>
      <w:lvlText w:val=""/>
      <w:lvlJc w:val="left"/>
      <w:pPr>
        <w:ind w:left="3948" w:hanging="360"/>
      </w:pPr>
      <w:rPr>
        <w:rFonts w:ascii="Symbol" w:hAnsi="Symbol"/>
      </w:rPr>
    </w:lvl>
    <w:lvl w:ilvl="4" w:tplc="B0EE13AA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/>
      </w:rPr>
    </w:lvl>
    <w:lvl w:ilvl="5" w:tplc="E294F782">
      <w:start w:val="1"/>
      <w:numFmt w:val="bullet"/>
      <w:lvlText w:val=""/>
      <w:lvlJc w:val="left"/>
      <w:pPr>
        <w:ind w:left="5388" w:hanging="360"/>
      </w:pPr>
      <w:rPr>
        <w:rFonts w:ascii="Wingdings" w:hAnsi="Wingdings"/>
      </w:rPr>
    </w:lvl>
    <w:lvl w:ilvl="6" w:tplc="D818B56C">
      <w:start w:val="1"/>
      <w:numFmt w:val="bullet"/>
      <w:lvlText w:val=""/>
      <w:lvlJc w:val="left"/>
      <w:pPr>
        <w:ind w:left="6108" w:hanging="360"/>
      </w:pPr>
      <w:rPr>
        <w:rFonts w:ascii="Symbol" w:hAnsi="Symbol"/>
      </w:rPr>
    </w:lvl>
    <w:lvl w:ilvl="7" w:tplc="85E628AC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/>
      </w:rPr>
    </w:lvl>
    <w:lvl w:ilvl="8" w:tplc="C16A7FC4">
      <w:start w:val="1"/>
      <w:numFmt w:val="bullet"/>
      <w:lvlText w:val=""/>
      <w:lvlJc w:val="left"/>
      <w:pPr>
        <w:ind w:left="7548" w:hanging="360"/>
      </w:pPr>
      <w:rPr>
        <w:rFonts w:ascii="Wingdings" w:hAnsi="Wingdings"/>
      </w:rPr>
    </w:lvl>
  </w:abstractNum>
  <w:abstractNum w:abstractNumId="12" w15:restartNumberingAfterBreak="0">
    <w:nsid w:val="289A5066"/>
    <w:multiLevelType w:val="multilevel"/>
    <w:tmpl w:val="4FF26A10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F587BF4"/>
    <w:multiLevelType w:val="hybridMultilevel"/>
    <w:tmpl w:val="2B3C18AE"/>
    <w:lvl w:ilvl="0" w:tplc="16B20A5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 w:tplc="355EA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364601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B58BC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44885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B8E109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B4C3F3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A90E4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7C5E7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7C7056F"/>
    <w:multiLevelType w:val="hybridMultilevel"/>
    <w:tmpl w:val="37541678"/>
    <w:lvl w:ilvl="0" w:tplc="3982C02E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56D0F7F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C814542C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8CC49DF4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0BC8503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32AA2220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87A2CE68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0652ED6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44CCD24A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39B81378"/>
    <w:multiLevelType w:val="multilevel"/>
    <w:tmpl w:val="4252CF8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16" w15:restartNumberingAfterBreak="0">
    <w:nsid w:val="40466F2E"/>
    <w:multiLevelType w:val="hybridMultilevel"/>
    <w:tmpl w:val="00005824"/>
    <w:lvl w:ilvl="0" w:tplc="D40C65BE">
      <w:start w:val="1"/>
      <w:numFmt w:val="bullet"/>
      <w:lvlText w:val=""/>
      <w:lvlJc w:val="left"/>
      <w:pPr>
        <w:ind w:left="774" w:hanging="360"/>
      </w:pPr>
      <w:rPr>
        <w:rFonts w:ascii="Symbol" w:hAnsi="Symbol"/>
      </w:rPr>
    </w:lvl>
    <w:lvl w:ilvl="1" w:tplc="835A7668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/>
      </w:rPr>
    </w:lvl>
    <w:lvl w:ilvl="2" w:tplc="E138D8B0">
      <w:start w:val="1"/>
      <w:numFmt w:val="bullet"/>
      <w:lvlText w:val=""/>
      <w:lvlJc w:val="left"/>
      <w:pPr>
        <w:ind w:left="2214" w:hanging="360"/>
      </w:pPr>
      <w:rPr>
        <w:rFonts w:ascii="Wingdings" w:hAnsi="Wingdings"/>
      </w:rPr>
    </w:lvl>
    <w:lvl w:ilvl="3" w:tplc="4FAE225C">
      <w:start w:val="1"/>
      <w:numFmt w:val="bullet"/>
      <w:lvlText w:val=""/>
      <w:lvlJc w:val="left"/>
      <w:pPr>
        <w:ind w:left="2934" w:hanging="360"/>
      </w:pPr>
      <w:rPr>
        <w:rFonts w:ascii="Symbol" w:hAnsi="Symbol"/>
      </w:rPr>
    </w:lvl>
    <w:lvl w:ilvl="4" w:tplc="A1FCBA9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/>
      </w:rPr>
    </w:lvl>
    <w:lvl w:ilvl="5" w:tplc="70DABCCA">
      <w:start w:val="1"/>
      <w:numFmt w:val="bullet"/>
      <w:lvlText w:val=""/>
      <w:lvlJc w:val="left"/>
      <w:pPr>
        <w:ind w:left="4374" w:hanging="360"/>
      </w:pPr>
      <w:rPr>
        <w:rFonts w:ascii="Wingdings" w:hAnsi="Wingdings"/>
      </w:rPr>
    </w:lvl>
    <w:lvl w:ilvl="6" w:tplc="0BDA0382">
      <w:start w:val="1"/>
      <w:numFmt w:val="bullet"/>
      <w:lvlText w:val=""/>
      <w:lvlJc w:val="left"/>
      <w:pPr>
        <w:ind w:left="5094" w:hanging="360"/>
      </w:pPr>
      <w:rPr>
        <w:rFonts w:ascii="Symbol" w:hAnsi="Symbol"/>
      </w:rPr>
    </w:lvl>
    <w:lvl w:ilvl="7" w:tplc="DC52F9F8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/>
      </w:rPr>
    </w:lvl>
    <w:lvl w:ilvl="8" w:tplc="6C4C1722">
      <w:start w:val="1"/>
      <w:numFmt w:val="bullet"/>
      <w:lvlText w:val=""/>
      <w:lvlJc w:val="left"/>
      <w:pPr>
        <w:ind w:left="6534" w:hanging="360"/>
      </w:pPr>
      <w:rPr>
        <w:rFonts w:ascii="Wingdings" w:hAnsi="Wingdings"/>
      </w:rPr>
    </w:lvl>
  </w:abstractNum>
  <w:abstractNum w:abstractNumId="17" w15:restartNumberingAfterBreak="0">
    <w:nsid w:val="47233CC6"/>
    <w:multiLevelType w:val="hybridMultilevel"/>
    <w:tmpl w:val="6C660C8E"/>
    <w:lvl w:ilvl="0" w:tplc="19960172">
      <w:start w:val="1"/>
      <w:numFmt w:val="decimal"/>
      <w:lvlText w:val="%1)"/>
      <w:lvlJc w:val="left"/>
      <w:pPr>
        <w:ind w:left="720" w:hanging="360"/>
      </w:pPr>
    </w:lvl>
    <w:lvl w:ilvl="1" w:tplc="E030150C">
      <w:start w:val="1"/>
      <w:numFmt w:val="lowerLetter"/>
      <w:lvlText w:val="%2."/>
      <w:lvlJc w:val="left"/>
      <w:pPr>
        <w:ind w:left="1440" w:hanging="360"/>
      </w:pPr>
    </w:lvl>
    <w:lvl w:ilvl="2" w:tplc="CDC6C31E">
      <w:start w:val="1"/>
      <w:numFmt w:val="lowerRoman"/>
      <w:lvlText w:val="%3."/>
      <w:lvlJc w:val="right"/>
      <w:pPr>
        <w:ind w:left="2160" w:hanging="180"/>
      </w:pPr>
    </w:lvl>
    <w:lvl w:ilvl="3" w:tplc="C7E4F52E">
      <w:start w:val="1"/>
      <w:numFmt w:val="decimal"/>
      <w:lvlText w:val="%4."/>
      <w:lvlJc w:val="left"/>
      <w:pPr>
        <w:ind w:left="2880" w:hanging="360"/>
      </w:pPr>
    </w:lvl>
    <w:lvl w:ilvl="4" w:tplc="A0E6457A">
      <w:start w:val="1"/>
      <w:numFmt w:val="lowerLetter"/>
      <w:lvlText w:val="%5."/>
      <w:lvlJc w:val="left"/>
      <w:pPr>
        <w:ind w:left="3600" w:hanging="360"/>
      </w:pPr>
    </w:lvl>
    <w:lvl w:ilvl="5" w:tplc="BC7C8AE8">
      <w:start w:val="1"/>
      <w:numFmt w:val="lowerRoman"/>
      <w:lvlText w:val="%6."/>
      <w:lvlJc w:val="right"/>
      <w:pPr>
        <w:ind w:left="4320" w:hanging="180"/>
      </w:pPr>
    </w:lvl>
    <w:lvl w:ilvl="6" w:tplc="49DCEDE0">
      <w:start w:val="1"/>
      <w:numFmt w:val="decimal"/>
      <w:lvlText w:val="%7."/>
      <w:lvlJc w:val="left"/>
      <w:pPr>
        <w:ind w:left="5040" w:hanging="360"/>
      </w:pPr>
    </w:lvl>
    <w:lvl w:ilvl="7" w:tplc="38545B60">
      <w:start w:val="1"/>
      <w:numFmt w:val="lowerLetter"/>
      <w:lvlText w:val="%8."/>
      <w:lvlJc w:val="left"/>
      <w:pPr>
        <w:ind w:left="5760" w:hanging="360"/>
      </w:pPr>
    </w:lvl>
    <w:lvl w:ilvl="8" w:tplc="03368FA0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54915"/>
    <w:multiLevelType w:val="hybridMultilevel"/>
    <w:tmpl w:val="C624CAA0"/>
    <w:lvl w:ilvl="0" w:tplc="E8AA6B5C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1654F06E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6698668A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542A3A2E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6262B5A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A0BAAF5E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1EB0AA94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8E1C726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1C8EF754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9" w15:restartNumberingAfterBreak="0">
    <w:nsid w:val="5481213D"/>
    <w:multiLevelType w:val="hybridMultilevel"/>
    <w:tmpl w:val="D03C4388"/>
    <w:lvl w:ilvl="0" w:tplc="35CC501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A22D9E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8148BC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434A5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01A54A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E48F94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BFCD3C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42A310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7D20AA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 w15:restartNumberingAfterBreak="0">
    <w:nsid w:val="5BA04739"/>
    <w:multiLevelType w:val="hybridMultilevel"/>
    <w:tmpl w:val="55A4F70C"/>
    <w:lvl w:ilvl="0" w:tplc="2CBCA1F0">
      <w:start w:val="1"/>
      <w:numFmt w:val="bullet"/>
      <w:lvlText w:val=""/>
      <w:lvlJc w:val="left"/>
      <w:pPr>
        <w:ind w:left="1571" w:hanging="360"/>
      </w:pPr>
      <w:rPr>
        <w:rFonts w:ascii="Symbol" w:hAnsi="Symbol"/>
      </w:rPr>
    </w:lvl>
    <w:lvl w:ilvl="1" w:tplc="099CEE1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 w:tplc="27A67EDE">
      <w:start w:val="1"/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 w:tplc="91DAD20C">
      <w:start w:val="1"/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 w:tplc="CB8663C6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 w:tplc="1C3448BE">
      <w:start w:val="1"/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 w:tplc="FDEC0372">
      <w:start w:val="1"/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 w:tplc="95AEBBD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 w:tplc="E256B66E">
      <w:start w:val="1"/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21" w15:restartNumberingAfterBreak="0">
    <w:nsid w:val="62D849AB"/>
    <w:multiLevelType w:val="hybridMultilevel"/>
    <w:tmpl w:val="B38EBB70"/>
    <w:lvl w:ilvl="0" w:tplc="42B45D76">
      <w:start w:val="1"/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 w:tplc="F8D0CEAE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 w:tplc="A8A44432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C778D946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D92E3340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 w:tplc="991E989A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C5D8A9CE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E93A0220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 w:tplc="013EF838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2" w15:restartNumberingAfterBreak="0">
    <w:nsid w:val="64AE41F2"/>
    <w:multiLevelType w:val="hybridMultilevel"/>
    <w:tmpl w:val="2A64A09E"/>
    <w:lvl w:ilvl="0" w:tplc="534A8DF2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F16E9D2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 w:tplc="D5A6DC4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 w:tplc="59D4AE7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B328A03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 w:tplc="7AEAC74E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 w:tplc="B71C46A8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 w:tplc="088C2A9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 w:tplc="6DD62D2C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3" w15:restartNumberingAfterBreak="0">
    <w:nsid w:val="724B761B"/>
    <w:multiLevelType w:val="hybridMultilevel"/>
    <w:tmpl w:val="5DC01900"/>
    <w:lvl w:ilvl="0" w:tplc="7E1449A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6B8E300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1FEAC22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B1EE00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A24847BE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96720CD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664CCC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8572C788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562EA03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72FA2E3F"/>
    <w:multiLevelType w:val="multilevel"/>
    <w:tmpl w:val="37AE816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25" w15:restartNumberingAfterBreak="0">
    <w:nsid w:val="74181462"/>
    <w:multiLevelType w:val="multilevel"/>
    <w:tmpl w:val="99EA48C0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1789" w:hanging="72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149" w:hanging="1080"/>
      </w:pPr>
    </w:lvl>
    <w:lvl w:ilvl="6">
      <w:start w:val="1"/>
      <w:numFmt w:val="decimal"/>
      <w:lvlText w:val="%1.%2.%3.%4.%5.%6.%7."/>
      <w:lvlJc w:val="left"/>
      <w:pPr>
        <w:ind w:left="2509" w:hanging="1440"/>
      </w:pPr>
    </w:lvl>
    <w:lvl w:ilvl="7">
      <w:start w:val="1"/>
      <w:numFmt w:val="decimal"/>
      <w:lvlText w:val="%1.%2.%3.%4.%5.%6.%7.%8."/>
      <w:lvlJc w:val="left"/>
      <w:pPr>
        <w:ind w:left="2509" w:hanging="1440"/>
      </w:pPr>
    </w:lvl>
    <w:lvl w:ilvl="8">
      <w:start w:val="1"/>
      <w:numFmt w:val="decimal"/>
      <w:lvlText w:val="%1.%2.%3.%4.%5.%6.%7.%8.%9."/>
      <w:lvlJc w:val="left"/>
      <w:pPr>
        <w:ind w:left="2869" w:hanging="1800"/>
      </w:pPr>
    </w:lvl>
  </w:abstractNum>
  <w:abstractNum w:abstractNumId="26" w15:restartNumberingAfterBreak="0">
    <w:nsid w:val="7BE55900"/>
    <w:multiLevelType w:val="hybridMultilevel"/>
    <w:tmpl w:val="49F6DB4A"/>
    <w:lvl w:ilvl="0" w:tplc="4552D84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4EC27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64C60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074841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63EEE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65CDC1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846AB5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F281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C92A4A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14"/>
  </w:num>
  <w:num w:numId="5">
    <w:abstractNumId w:val="18"/>
  </w:num>
  <w:num w:numId="6">
    <w:abstractNumId w:val="20"/>
  </w:num>
  <w:num w:numId="7">
    <w:abstractNumId w:val="9"/>
  </w:num>
  <w:num w:numId="8">
    <w:abstractNumId w:val="5"/>
  </w:num>
  <w:num w:numId="9">
    <w:abstractNumId w:val="7"/>
  </w:num>
  <w:num w:numId="10">
    <w:abstractNumId w:val="26"/>
  </w:num>
  <w:num w:numId="11">
    <w:abstractNumId w:val="17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0"/>
  </w:num>
  <w:num w:numId="15">
    <w:abstractNumId w:val="4"/>
  </w:num>
  <w:num w:numId="16">
    <w:abstractNumId w:val="19"/>
  </w:num>
  <w:num w:numId="17">
    <w:abstractNumId w:val="22"/>
  </w:num>
  <w:num w:numId="18">
    <w:abstractNumId w:val="24"/>
  </w:num>
  <w:num w:numId="19">
    <w:abstractNumId w:val="21"/>
  </w:num>
  <w:num w:numId="20">
    <w:abstractNumId w:val="2"/>
  </w:num>
  <w:num w:numId="21">
    <w:abstractNumId w:val="11"/>
  </w:num>
  <w:num w:numId="22">
    <w:abstractNumId w:val="13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8"/>
  </w:num>
  <w:num w:numId="27">
    <w:abstractNumId w:val="3"/>
  </w:num>
  <w:num w:numId="28">
    <w:abstractNumId w:val="16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85"/>
    <w:rsid w:val="000B35D8"/>
    <w:rsid w:val="000F1793"/>
    <w:rsid w:val="001F30EB"/>
    <w:rsid w:val="00242624"/>
    <w:rsid w:val="003D66CD"/>
    <w:rsid w:val="006E4B85"/>
    <w:rsid w:val="00842736"/>
    <w:rsid w:val="00A61D82"/>
    <w:rsid w:val="00D740C5"/>
    <w:rsid w:val="00F22FC6"/>
    <w:rsid w:val="00F6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71E45-2094-4E58-B555-D7138DB0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hd w:val="clear" w:color="auto" w:fill="FFFFFF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0"/>
    <w:next w:val="a0"/>
    <w:uiPriority w:val="99"/>
    <w:unhideWhenUsed/>
  </w:style>
  <w:style w:type="paragraph" w:styleId="25">
    <w:name w:val="Body Text Indent 2"/>
    <w:basedOn w:val="a0"/>
    <w:pPr>
      <w:spacing w:line="360" w:lineRule="auto"/>
      <w:ind w:left="720"/>
    </w:pPr>
    <w:rPr>
      <w:szCs w:val="28"/>
    </w:rPr>
  </w:style>
  <w:style w:type="paragraph" w:customStyle="1" w:styleId="afb">
    <w:name w:val="Основной текст;Основной текст таблиц;в таблице;таблицы;в таблицах"/>
    <w:basedOn w:val="a0"/>
    <w:link w:val="afc"/>
    <w:pPr>
      <w:spacing w:after="120"/>
    </w:pPr>
  </w:style>
  <w:style w:type="paragraph" w:styleId="afd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">
    <w:name w:val="List Number"/>
    <w:basedOn w:val="a0"/>
    <w:pPr>
      <w:numPr>
        <w:numId w:val="2"/>
      </w:numPr>
      <w:spacing w:before="60" w:line="360" w:lineRule="auto"/>
      <w:jc w:val="both"/>
    </w:pPr>
    <w:rPr>
      <w:sz w:val="28"/>
    </w:rPr>
  </w:style>
  <w:style w:type="paragraph" w:customStyle="1" w:styleId="afe">
    <w:name w:val="Знак Знак Знак Знак Знак Знак"/>
    <w:basedOn w:val="a0"/>
    <w:next w:val="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character" w:customStyle="1" w:styleId="afc">
    <w:name w:val="Основной текст Знак;Основной текст таблиц Знак;в таблице Знак;таблицы Знак;в таблицах Знак"/>
    <w:link w:val="afb"/>
    <w:rPr>
      <w:sz w:val="24"/>
      <w:szCs w:val="24"/>
    </w:rPr>
  </w:style>
  <w:style w:type="paragraph" w:customStyle="1" w:styleId="210">
    <w:name w:val="Основной текст 21"/>
    <w:basedOn w:val="a0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Pr>
      <w:rFonts w:ascii="Cambria" w:eastAsia="Times New Roman" w:hAnsi="Cambria" w:cs="Times New Roman"/>
      <w:b/>
      <w:bCs/>
      <w:sz w:val="26"/>
      <w:szCs w:val="26"/>
    </w:rPr>
  </w:style>
  <w:style w:type="paragraph" w:styleId="35">
    <w:name w:val="Body Text 3"/>
    <w:basedOn w:val="a0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rPr>
      <w:sz w:val="16"/>
      <w:szCs w:val="16"/>
    </w:rPr>
  </w:style>
  <w:style w:type="paragraph" w:styleId="26">
    <w:name w:val="Body Text 2"/>
    <w:basedOn w:val="a0"/>
    <w:link w:val="27"/>
    <w:pPr>
      <w:spacing w:after="120" w:line="480" w:lineRule="auto"/>
    </w:pPr>
  </w:style>
  <w:style w:type="character" w:customStyle="1" w:styleId="27">
    <w:name w:val="Основной текст 2 Знак"/>
    <w:link w:val="26"/>
    <w:rPr>
      <w:sz w:val="24"/>
      <w:szCs w:val="24"/>
    </w:rPr>
  </w:style>
  <w:style w:type="character" w:customStyle="1" w:styleId="af">
    <w:name w:val="Нижний колонтитул Знак"/>
    <w:link w:val="ae"/>
    <w:rPr>
      <w:sz w:val="24"/>
      <w:szCs w:val="24"/>
    </w:rPr>
  </w:style>
  <w:style w:type="paragraph" w:styleId="aff">
    <w:name w:val="Body Text Indent"/>
    <w:basedOn w:val="a0"/>
    <w:link w:val="aff0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Pr>
      <w:sz w:val="24"/>
      <w:szCs w:val="24"/>
    </w:rPr>
  </w:style>
  <w:style w:type="character" w:styleId="aff1">
    <w:name w:val="annotation reference"/>
    <w:uiPriority w:val="99"/>
    <w:rPr>
      <w:sz w:val="16"/>
      <w:szCs w:val="16"/>
    </w:rPr>
  </w:style>
  <w:style w:type="paragraph" w:styleId="aff2">
    <w:name w:val="annotation text"/>
    <w:basedOn w:val="a0"/>
    <w:link w:val="aff3"/>
    <w:uiPriority w:val="99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</w:style>
  <w:style w:type="paragraph" w:customStyle="1" w:styleId="ListParagraph1">
    <w:name w:val="Абзац списка;Нумерованый список;List Paragraph1"/>
    <w:basedOn w:val="a0"/>
    <w:link w:val="ListParagraph10"/>
    <w:uiPriority w:val="34"/>
    <w:qFormat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pPr>
      <w:ind w:firstLine="709"/>
      <w:jc w:val="both"/>
    </w:pPr>
    <w:rPr>
      <w:szCs w:val="20"/>
    </w:rPr>
  </w:style>
  <w:style w:type="character" w:customStyle="1" w:styleId="ad">
    <w:name w:val="Верхний колонтитул Знак"/>
    <w:link w:val="ac"/>
    <w:uiPriority w:val="99"/>
    <w:rPr>
      <w:sz w:val="24"/>
      <w:szCs w:val="24"/>
    </w:rPr>
  </w:style>
  <w:style w:type="paragraph" w:customStyle="1" w:styleId="13">
    <w:name w:val="Абзац списка1"/>
    <w:basedOn w:val="a0"/>
    <w:pPr>
      <w:ind w:left="720"/>
    </w:pPr>
    <w:rPr>
      <w:sz w:val="20"/>
      <w:szCs w:val="20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styleId="aff4">
    <w:name w:val="Normal (Web)"/>
    <w:basedOn w:val="a0"/>
    <w:uiPriority w:val="99"/>
    <w:unhideWhenUsed/>
    <w:pPr>
      <w:spacing w:before="100" w:beforeAutospacing="1" w:after="100" w:afterAutospacing="1"/>
    </w:pPr>
  </w:style>
  <w:style w:type="character" w:customStyle="1" w:styleId="ListParagraph10">
    <w:name w:val="Абзац списка Знак;Нумерованый список Знак;List Paragraph1 Знак"/>
    <w:link w:val="ListParagraph1"/>
    <w:uiPriority w:val="34"/>
  </w:style>
  <w:style w:type="paragraph" w:styleId="aff5">
    <w:name w:val="Plain Text"/>
    <w:basedOn w:val="a0"/>
    <w:link w:val="aff6"/>
    <w:unhideWhenUsed/>
    <w:rPr>
      <w:rFonts w:ascii="Courier New" w:hAnsi="Courier New"/>
      <w:sz w:val="20"/>
      <w:szCs w:val="20"/>
    </w:rPr>
  </w:style>
  <w:style w:type="character" w:customStyle="1" w:styleId="aff6">
    <w:name w:val="Текст Знак"/>
    <w:link w:val="aff5"/>
    <w:rPr>
      <w:rFonts w:ascii="Courier New" w:hAnsi="Courier New"/>
    </w:rPr>
  </w:style>
  <w:style w:type="character" w:customStyle="1" w:styleId="apple-converted-space">
    <w:name w:val="apple-converted-space"/>
    <w:basedOn w:val="a1"/>
  </w:style>
  <w:style w:type="paragraph" w:customStyle="1" w:styleId="UserStyle17">
    <w:name w:val="UserStyle_17"/>
    <w:basedOn w:val="a0"/>
    <w:next w:val="aff4"/>
    <w:uiPriority w:val="99"/>
    <w:unhideWhenUsed/>
    <w:pPr>
      <w:spacing w:before="100" w:beforeAutospacing="1" w:after="100" w:afterAutospacing="1"/>
    </w:pPr>
  </w:style>
  <w:style w:type="character" w:styleId="aff7">
    <w:name w:val="Strong"/>
    <w:uiPriority w:val="22"/>
    <w:qFormat/>
    <w:rPr>
      <w:b/>
      <w:bCs/>
    </w:rPr>
  </w:style>
  <w:style w:type="paragraph" w:customStyle="1" w:styleId="211">
    <w:name w:val="Основной текст с отступом 21"/>
    <w:basedOn w:val="a0"/>
    <w:pPr>
      <w:ind w:left="5040"/>
    </w:pPr>
    <w:rPr>
      <w:szCs w:val="20"/>
      <w:lang w:eastAsia="ar-SA"/>
    </w:rPr>
  </w:style>
  <w:style w:type="paragraph" w:styleId="aff8">
    <w:name w:val="annotation subject"/>
    <w:basedOn w:val="aff2"/>
    <w:next w:val="aff2"/>
    <w:link w:val="aff9"/>
    <w:semiHidden/>
    <w:unhideWhenUsed/>
    <w:rPr>
      <w:b/>
      <w:bCs/>
    </w:rPr>
  </w:style>
  <w:style w:type="character" w:customStyle="1" w:styleId="aff9">
    <w:name w:val="Тема примечания Знак"/>
    <w:link w:val="aff8"/>
    <w:semiHidden/>
    <w:rPr>
      <w:b/>
      <w:bCs/>
    </w:rPr>
  </w:style>
  <w:style w:type="character" w:customStyle="1" w:styleId="FontStyle35">
    <w:name w:val="Font Style35"/>
    <w:uiPriority w:val="99"/>
    <w:rsid w:val="001F30EB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0"/>
    <w:uiPriority w:val="99"/>
    <w:rsid w:val="001F30EB"/>
    <w:pPr>
      <w:widowControl w:val="0"/>
      <w:spacing w:line="317" w:lineRule="exact"/>
      <w:ind w:firstLine="706"/>
      <w:jc w:val="both"/>
    </w:pPr>
    <w:rPr>
      <w:rFonts w:eastAsia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Дормидонтов Алексей Альбертович</cp:lastModifiedBy>
  <cp:revision>13</cp:revision>
  <dcterms:created xsi:type="dcterms:W3CDTF">2026-02-03T13:08:00Z</dcterms:created>
  <dcterms:modified xsi:type="dcterms:W3CDTF">2026-06-10T12:12:00Z</dcterms:modified>
  <cp:version>1048576</cp:version>
</cp:coreProperties>
</file>